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93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学科数据监测平台使用说明</w:t>
      </w:r>
    </w:p>
    <w:p w14:paraId="6E0D1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</w:pPr>
    </w:p>
    <w:p w14:paraId="040ED7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一、平台登录</w:t>
      </w:r>
    </w:p>
    <w:p w14:paraId="7F2712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平台网址：https://xk.zjedu.gov.cn（建议使用Google或MicrosoftEdge浏览器）</w:t>
      </w:r>
    </w:p>
    <w:p w14:paraId="0820D5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登录名为衢州学院+部门简称（比如科研处，登录名是衢州学院科研处），初始密码是qzxy123456，如有疑问可联系学科处金莲（电话：15869058084）。</w:t>
      </w:r>
    </w:p>
    <w:p w14:paraId="0A3269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二、栏目介绍</w:t>
      </w:r>
    </w:p>
    <w:p w14:paraId="119CDA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（一）“学科专业目录”栏</w:t>
      </w:r>
    </w:p>
    <w:p w14:paraId="40BAD6E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可查询国家学科、学位点、专业目录，及本校一流学科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名单。</w:t>
      </w:r>
    </w:p>
    <w:p w14:paraId="472223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（二）“公共数据确认”栏</w:t>
      </w:r>
    </w:p>
    <w:p w14:paraId="0059CBC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本栏目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无须学校报送，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可进入该栏目，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核查系统数据是否有误，若发现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此类数据缺失或错误的，可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第一时间反馈给学科处金莲，由学科处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联系省级管理员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补充（修正）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eastAsia="zh-CN"/>
        </w:rPr>
        <w:t>。</w:t>
      </w:r>
    </w:p>
    <w:p w14:paraId="582606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（三）“成果报送”栏</w:t>
      </w:r>
    </w:p>
    <w:p w14:paraId="121A21C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对于需要学校报送的成果，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可进入该栏目，按照数据字段要求报送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2023年1月1日—2024年12月31日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期间的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成果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。数据报送可单条添加，也可以直接按照表格导入。对于此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类数据，需要提供相应证明材料。</w:t>
      </w:r>
    </w:p>
    <w:p w14:paraId="64D131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19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（四）“已归档成果查询”栏</w:t>
      </w:r>
    </w:p>
    <w:p w14:paraId="2C77CE0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9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2"/>
          <w:sz w:val="32"/>
          <w:szCs w:val="32"/>
        </w:rPr>
        <w:t>对于学校确认（报送）的成果数据，通过省教育厅审核后，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可以在该栏目查询。若未通过审核，无法在此栏目查询。</w:t>
      </w:r>
    </w:p>
    <w:p w14:paraId="0FE3A0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）“统计口径”栏</w:t>
      </w:r>
    </w:p>
    <w:p w14:paraId="5B72D98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可在此栏目查询各类成果纳入监测的类型；对于未列入统计口径的成果，无法报送相关数据。</w:t>
      </w:r>
    </w:p>
    <w:p w14:paraId="635EFB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jc w:val="left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省教育厅定期将新设立的项目、成果纳入相应数据口径。</w:t>
      </w:r>
    </w:p>
    <w:p w14:paraId="40DBDB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三、有关说明</w:t>
      </w:r>
    </w:p>
    <w:p w14:paraId="2E0344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（一）关于数据报送与省一流学科建设的关系</w:t>
      </w:r>
    </w:p>
    <w:p w14:paraId="7C73E4B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728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2"/>
          <w:sz w:val="32"/>
          <w:szCs w:val="32"/>
        </w:rPr>
        <w:t>平台确认通过的公共数据和学校报送的数据应为全校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总体数据，并非单指学校省一流学科取得的成果数据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。学校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</w:rPr>
        <w:t>应如实将各项成果归属到相应学科（非仅归属到省一流学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科）。省教育厅将组织人员对成果学科归属是否合理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进校判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断。</w:t>
      </w:r>
    </w:p>
    <w:p w14:paraId="315E506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审核通过的数据将作为高校综合考核、省一流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学科绩效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监测等相关工作的重要依据，有关标志性成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果作为招生计划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分配、学科专业调整、新一轮省一流学科建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设工程遴选及资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源统筹保障等方面的重要参考。今后相关工作需要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的数据将直接从系统中提取，原则上不需要学校再报送。</w:t>
      </w:r>
    </w:p>
    <w:p w14:paraId="5EF9B4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（二）关于成果署名单位</w:t>
      </w:r>
    </w:p>
    <w:p w14:paraId="600C933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成果一般要求是一流学科所在单位为成果第一单位、学科为牵头学科新增的成果（另有说明除外）。</w:t>
      </w:r>
    </w:p>
    <w:p w14:paraId="7513A27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为统筹推进教育科技人才体制机制一体改革，引导和激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励高校与企业、科研院所开展深度实质性合作，对于以企业、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科研院所及其他高校为第一单位、学校为第二单位获得科技（社科）奖项（不含社会力量设立的奖项）及共建教学科研平台，予以认可。学校可在“成果报送”栏下的“协同共建”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子栏目中报送相关的成果数据。</w:t>
      </w:r>
    </w:p>
    <w:p w14:paraId="6FC743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（三）关于成果学科归属</w:t>
      </w:r>
    </w:p>
    <w:p w14:paraId="684FDA0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6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原则上每项成果确定1个归属学科。为引导和激励高校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学科交叉融合、协同攻关，对于教学科研平台及科技（社科</w:t>
      </w:r>
      <w:r>
        <w:rPr>
          <w:rFonts w:hint="eastAsia" w:cs="仿宋_GB2312"/>
          <w:spacing w:val="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奖项，各单位可根据相关支撑学科贡献度，确定牵头学科及支撑学科（国家社科基金项目结题鉴定优秀除外）。</w:t>
      </w:r>
    </w:p>
    <w:p w14:paraId="68E7DEF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对于部分国家最新学科目录中不再保留的一级学科（如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风景园林学、医学技术、艺术学理论、戏剧与影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视学、美术学、音乐与舞蹈学等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学校仍可根据实际情况将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成果归属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到相应一流学科，特别是艺术学一级学科下的成果，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建议根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据实际情况，归属到艺术学理论、戏剧与影视学、美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术学、音乐与舞蹈学等原一级学科。</w:t>
      </w:r>
    </w:p>
    <w:p w14:paraId="426FA7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（四）关于数据统计口径</w:t>
      </w:r>
    </w:p>
    <w:p w14:paraId="687C8CE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各项成果统计口径可具体见相应统计口径栏目。对于未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列入统计口径的成果，无法报送相关数据。省教育厅定期将新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设立的项目、成果纳入相应数据口径。</w:t>
      </w:r>
    </w:p>
    <w:p w14:paraId="6A092C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）关于人才数据</w:t>
      </w:r>
    </w:p>
    <w:p w14:paraId="000523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包含国家级、省部级人才两类。国家级人才包含两院（中国科学院、中国工程院）院士、中国社会科学院学部委员（荣誉委员）、教育部“长江学者奖励计划”入选者（含特聘教授、特岗教授、讲座教授、讲席学者、校企联聘学者、青年学者）、国家高层次人才特殊支持计划入选者（含杰出人才、科技创新领军人才、哲学社会科学领军人才、教学名师、百千万人才工程人选、科技创业领军人才、青年拔尖人才）、国家海外引才计划入选者（含创新长期项目、外专项目、创业项目、青年项目）、科技部火炬计划入选者（创新）、工信部启明计划入选者（创新创业）、国家杰出青年基金项目获得者、国家优秀青年基金项目获得者（含海外项目）、全国文化名家暨宣传文化系统“四个一批”人才、国医大师、国家名中医、中宣部“宣传思想文化青年英才”入选者、国家有突出贡献的中青年专家等。</w:t>
      </w:r>
    </w:p>
    <w:p w14:paraId="3E7F66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省部级人才包含省特级专家、省高层次人才特殊支持计划入选者（含杰出人才、科技创新领军人才、哲学社会科学领军人才、教学名师、科技创业领军人才、青年拔尖人才）、省级人才计划入选者（宣传思想文化人才、社会工作人才、服务业人才、产业人才、教育人才、科技人才、高技能人才、创业人才、农业农村人才、医疗卫生人才）、省海外引才计划入选者（含顶尖人才项目、创新长期项目、外专项目、海鸥计划、青年项目）、省宣传文化系统“五个一批”人才、省有突出贡献的中青年专家、省杰出青年基金项目获得者、教育部“新世纪优秀人才支持计划”入选者等。</w:t>
      </w:r>
    </w:p>
    <w:p w14:paraId="5FD9DAB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1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数据由省教育厅根据人才工作相关要求，按涉密要求处理。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省教育厅定期将各高校人才存量及增量情况纳入平台，学校仅需要确认人才的学科归属及在职状态。学科归属一经确认，原则上不再修改。</w:t>
      </w:r>
    </w:p>
    <w:p w14:paraId="5C1F549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省教育厅根据学校确认的人才学科归属情况，结合已采集数据予以认定，具体人才项目信息不在平台展示。</w:t>
      </w:r>
    </w:p>
    <w:p w14:paraId="376E3E0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需要说明的是，平台内人才数据均来自各校报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送省教育厅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干部人才处的2023、2024年度高校高层次人才基本信息采集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表。为确保人才学科归属更加科学合理，各校需再次确认人才的学科归属及在职状态，学科归属一经确认后，原则上不再修改。今后，学校仅需要对新增人才的学科归属进行确认，并对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已有人才在职状态进行更新。</w:t>
      </w:r>
    </w:p>
    <w:p w14:paraId="413BD6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4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4"/>
          <w:sz w:val="32"/>
          <w:szCs w:val="32"/>
        </w:rPr>
        <w:t>四、数据报送注意事项</w:t>
      </w:r>
    </w:p>
    <w:p w14:paraId="106FA7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（一）关于证明材料要求</w:t>
      </w:r>
    </w:p>
    <w:p w14:paraId="317BA32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对于公共数据，无需提供证明材料，仅需核实信息准确性。</w:t>
      </w:r>
    </w:p>
    <w:p w14:paraId="571F92F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对于报送数据，除科研项目外，需一对一提供必要证明材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料（比如论文首页、项目立项通知书首页、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获奖证书、公布文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件等，或者也可以是网上公布的链接，以便核实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）。</w:t>
      </w:r>
    </w:p>
    <w:p w14:paraId="453BD3F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科研项目的证明材料，需要按照类别分开整理、打包上传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（无需一对一数据上传）。其中，对于国家级重点重大项目，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需要提供能够体现立项单位、立项时间、项目名称等核心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信息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的立项通知书首页或立项单位管理系统截图；对于国家级一般项目，可由学校科研管理部门确认清单盖章作为证明材料；对于省部级重点项目，需要提供相关核心信息的立项通知书首页或相应公布的文件；对于重大横向科研项目，需要提供项目立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项信息、当年到账经费有关内容的证明材料。</w:t>
      </w:r>
    </w:p>
    <w:p w14:paraId="1E2DDA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（二）关于科研项目报送</w:t>
      </w:r>
    </w:p>
    <w:p w14:paraId="20D2834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重大纵向科研项目和重大横向科研项目，均在“科研项目”栏目中报送。其中，重大纵向科研项目，需要根据纵向项目类型进行区分项目类型，子课题、子项目等均不在报送范围；重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大横向科研项目，仅报送立项当年到账经费理工类200万及以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上、人文社科类30万及以上的项目，项目类型统一选择“重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大横向科研项目”。</w:t>
      </w:r>
    </w:p>
    <w:p w14:paraId="5061C69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纵向科研项目，无需填写当年到账经费数；横向项目，需要填写立项当年到账经费数。</w:t>
      </w:r>
    </w:p>
    <w:p w14:paraId="316E16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（三）关于成果获批时间字段要求</w:t>
      </w:r>
    </w:p>
    <w:p w14:paraId="019DADD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以最终批文落款时间为准，比如2024年申报的奖项，2024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年底还没有正式获批，不纳入2024年统计范围。</w:t>
      </w:r>
    </w:p>
    <w:p w14:paraId="1E94995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科研项目的批准时间以批准立项时间为准，非项目执行期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（比如国家自然科学基金面上项目，可报送批准时间为2023</w:t>
      </w:r>
      <w:r>
        <w:rPr>
          <w:rFonts w:hint="eastAsia" w:ascii="仿宋_GB2312" w:hAnsi="仿宋_GB2312" w:eastAsia="仿宋_GB2312" w:cs="仿宋_GB2312"/>
          <w:spacing w:val="-15"/>
          <w:sz w:val="32"/>
          <w:szCs w:val="32"/>
        </w:rPr>
        <w:t>年下半年、执行期从2024年1月1日开始，或批准时间为2024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年下半年、执行期从2025年1月1日开始两个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批次的项目，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批准时间为2022年下半年、执行期从2023年1月1日开始的项目，不在本次报送范围）。对于责任单位发生变更的项目，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变更后责任单位的项目批准立项时间填写项目主管部门变更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审批通过时间。</w:t>
      </w:r>
    </w:p>
    <w:p w14:paraId="769DFEE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获批时间字段，统一到“年月”，格式为“****-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**”，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比如“2024-12”“2023-05”。</w:t>
      </w:r>
    </w:p>
    <w:p w14:paraId="3453E1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（四）关于成果类型格式要求</w:t>
      </w:r>
    </w:p>
    <w:p w14:paraId="549FBA9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批量导入需严格按照“统计口径”所列的名称填写，不可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修改或简称。比如，重要期刊论文类型，应填写“《科学》”，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若填写“科学”或“Science”，则无法报送。</w:t>
      </w:r>
    </w:p>
    <w:p w14:paraId="4F410C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（五）关于归属学科名称要求</w:t>
      </w:r>
    </w:p>
    <w:p w14:paraId="7A44691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批量导入需严格按照教育部一级学科填写，不可修改或简称。详见“学科专业目录”栏目。</w:t>
      </w:r>
    </w:p>
    <w:p w14:paraId="40FBC5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（六）关于支撑学科格式要求</w:t>
      </w:r>
    </w:p>
    <w:p w14:paraId="26BC7BE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批量导入时，需统一按照“支撑学科1，支撑学科2”填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写，其中逗号应是中文半角状态输入，如“机械工程，材料科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学与工程，力学”。</w:t>
      </w:r>
    </w:p>
    <w:p w14:paraId="344548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（七）关于协同共建的平台、奖项</w:t>
      </w:r>
    </w:p>
    <w:p w14:paraId="5D8CB59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若共获重要科研（社科）奖项、教学科研平台为其他省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份设立的奖项、平台，奖项类型统一选择“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外省科技社科奖”、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“外省重要教学平台”、“外省重要科研平台”，并在备注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栏补充具体奖项名称；对于国家级平台、奖项，按统一口径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填报选择。</w:t>
      </w:r>
    </w:p>
    <w:p w14:paraId="1157DC3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7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社会力量设立的奖项，不在填报范围。</w:t>
      </w:r>
    </w:p>
    <w:p w14:paraId="44A458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（八）关于涉密成果</w:t>
      </w:r>
    </w:p>
    <w:p w14:paraId="4980F27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对于涉密成果，学校应进行涉密处理，无需上传相应证明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材料。</w:t>
      </w:r>
    </w:p>
    <w:p w14:paraId="5A2274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5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sz w:val="32"/>
          <w:szCs w:val="32"/>
        </w:rPr>
        <w:t>（九）关于奖项等级</w:t>
      </w:r>
    </w:p>
    <w:p w14:paraId="551176E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对于部分科技（社科）成果奖（如何梁何利奖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若奖项没有区分等级的，“获奖等级”字段选择“不区分等级”。</w:t>
      </w:r>
    </w:p>
    <w:p w14:paraId="67691D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28" w:firstLineChars="200"/>
        <w:jc w:val="left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</w:p>
    <w:p w14:paraId="028800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77B62">
    <w:pPr>
      <w:spacing w:line="179" w:lineRule="auto"/>
      <w:ind w:left="3774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28"/>
        <w:sz w:val="24"/>
        <w:szCs w:val="24"/>
      </w:rPr>
      <w:t>—</w:t>
    </w:r>
    <w:r>
      <w:rPr>
        <w:rFonts w:ascii="Times New Roman" w:hAnsi="Times New Roman" w:eastAsia="Times New Roman" w:cs="Times New Roman"/>
        <w:spacing w:val="28"/>
        <w:sz w:val="24"/>
        <w:szCs w:val="24"/>
      </w:rPr>
      <w:t>6</w:t>
    </w:r>
    <w:r>
      <w:rPr>
        <w:rFonts w:ascii="Calibri" w:hAnsi="Calibri" w:eastAsia="Calibri" w:cs="Calibri"/>
        <w:spacing w:val="28"/>
        <w:sz w:val="24"/>
        <w:szCs w:val="24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51736"/>
    <w:rsid w:val="01651736"/>
    <w:rsid w:val="2C17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2776</Words>
  <Characters>2902</Characters>
  <Lines>0</Lines>
  <Paragraphs>0</Paragraphs>
  <TotalTime>0</TotalTime>
  <ScaleCrop>false</ScaleCrop>
  <LinksUpToDate>false</LinksUpToDate>
  <CharactersWithSpaces>2902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2025-02-21T07:44:00Z</dcterms:created>
  <dc:creator>Jin</dc:creator>
  <cp:lastModifiedBy>Jin</cp:lastModifiedBy>
  <dcterms:modified xsi:type="dcterms:W3CDTF">2025-02-21T09:24:26Z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E321CFB20F9543BCB19AEDEEDC9F80F2_11</vt:lpwstr>
  </property>
  <property fmtid="{D5CDD505-2E9C-101B-9397-08002B2CF9AE}" pid="4" name="KSOTemplateDocerSaveRecord">
    <vt:lpwstr>eyJoZGlkIjoiMGRkNWIyMTM3YjNjNzExNDljZDhiYTFlNzE0YWEwYmIiLCJ1c2VySWQiOiI1NjgxNjY2MzcifQ==</vt:lpwstr>
  </property>
</Properties>
</file>