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8B95E">
      <w:pPr>
        <w:jc w:val="center"/>
        <w:rPr>
          <w:rFonts w:hint="eastAsia" w:ascii="方正小标宋简体" w:hAnsi="MS Mincho" w:eastAsia="方正小标宋简体" w:cs="MS Mincho"/>
          <w:b/>
          <w:sz w:val="56"/>
          <w:szCs w:val="56"/>
          <w:lang w:val="en-US" w:eastAsia="zh-CN"/>
        </w:rPr>
      </w:pPr>
    </w:p>
    <w:p w14:paraId="51D77F06">
      <w:pPr>
        <w:jc w:val="center"/>
        <w:rPr>
          <w:rFonts w:hint="eastAsia" w:ascii="方正小标宋简体" w:hAnsi="MS Mincho" w:eastAsia="方正小标宋简体" w:cs="MS Mincho"/>
          <w:b/>
          <w:sz w:val="56"/>
          <w:szCs w:val="56"/>
          <w:lang w:val="en-US" w:eastAsia="zh-CN"/>
        </w:rPr>
      </w:pPr>
      <w:r>
        <w:rPr>
          <w:rFonts w:hint="eastAsia" w:ascii="方正小标宋简体" w:hAnsi="MS Mincho" w:eastAsia="方正小标宋简体" w:cs="MS Mincho"/>
          <w:b/>
          <w:sz w:val="56"/>
          <w:szCs w:val="56"/>
          <w:lang w:val="en-US" w:eastAsia="zh-CN"/>
        </w:rPr>
        <w:t>衢州学院</w:t>
      </w:r>
    </w:p>
    <w:p w14:paraId="58B2E453">
      <w:pPr>
        <w:jc w:val="center"/>
        <w:rPr>
          <w:rFonts w:ascii="仿宋_GB2312" w:eastAsia="仿宋_GB2312"/>
          <w:sz w:val="22"/>
          <w:szCs w:val="28"/>
        </w:rPr>
      </w:pPr>
      <w:r>
        <w:rPr>
          <w:rFonts w:hint="eastAsia" w:ascii="方正小标宋简体" w:hAnsi="MS Mincho" w:eastAsia="方正小标宋简体" w:cs="MS Mincho"/>
          <w:b/>
          <w:sz w:val="56"/>
          <w:szCs w:val="56"/>
          <w:lang w:val="en-US" w:eastAsia="zh-CN"/>
        </w:rPr>
        <w:t>培养计划</w:t>
      </w:r>
      <w:r>
        <w:rPr>
          <w:rFonts w:hint="eastAsia" w:ascii="方正小标宋简体" w:hAnsi="MS Mincho" w:eastAsia="方正小标宋简体" w:cs="MS Mincho"/>
          <w:b/>
          <w:sz w:val="56"/>
          <w:szCs w:val="56"/>
        </w:rPr>
        <w:t>操作指南</w:t>
      </w:r>
    </w:p>
    <w:p w14:paraId="6BE05514">
      <w:pPr>
        <w:jc w:val="center"/>
        <w:rPr>
          <w:rFonts w:ascii="宋体" w:hAnsi="宋体"/>
          <w:b/>
          <w:color w:val="17365D"/>
          <w:sz w:val="52"/>
          <w:szCs w:val="52"/>
        </w:rPr>
      </w:pPr>
    </w:p>
    <w:p w14:paraId="1B973406">
      <w:pPr>
        <w:jc w:val="center"/>
        <w:rPr>
          <w:rFonts w:ascii="宋体" w:hAnsi="宋体"/>
          <w:sz w:val="52"/>
          <w:szCs w:val="52"/>
        </w:rPr>
      </w:pPr>
    </w:p>
    <w:p w14:paraId="4E27FB0B">
      <w:pPr>
        <w:jc w:val="center"/>
        <w:rPr>
          <w:rFonts w:ascii="宋体" w:hAnsi="宋体"/>
          <w:sz w:val="52"/>
          <w:szCs w:val="52"/>
        </w:rPr>
      </w:pPr>
    </w:p>
    <w:p w14:paraId="354C0666">
      <w:pPr>
        <w:jc w:val="center"/>
        <w:rPr>
          <w:rFonts w:ascii="宋体" w:hAnsi="宋体"/>
          <w:sz w:val="52"/>
          <w:szCs w:val="52"/>
        </w:rPr>
      </w:pPr>
    </w:p>
    <w:p w14:paraId="3277BFC5">
      <w:pPr>
        <w:jc w:val="center"/>
        <w:rPr>
          <w:rFonts w:ascii="宋体" w:hAnsi="宋体"/>
          <w:sz w:val="52"/>
          <w:szCs w:val="52"/>
        </w:rPr>
      </w:pPr>
    </w:p>
    <w:p w14:paraId="605D70C7">
      <w:pPr>
        <w:pStyle w:val="2"/>
        <w:tabs>
          <w:tab w:val="left" w:pos="0"/>
          <w:tab w:val="clear" w:pos="432"/>
        </w:tabs>
        <w:sectPr>
          <w:footerReference r:id="rId7" w:type="first"/>
          <w:footerReference r:id="rId5" w:type="default"/>
          <w:footerReference r:id="rId6" w:type="even"/>
          <w:pgSz w:w="11906" w:h="16838"/>
          <w:pgMar w:top="1418" w:right="851" w:bottom="1418" w:left="1134" w:header="851" w:footer="851" w:gutter="0"/>
          <w:cols w:space="720" w:num="1"/>
          <w:docGrid w:linePitch="299" w:charSpace="0"/>
        </w:sectPr>
      </w:pPr>
    </w:p>
    <w:p w14:paraId="2B668F58">
      <w:pPr>
        <w:ind w:firstLine="663" w:firstLineChars="200"/>
        <w:outlineLvl w:val="0"/>
        <w:rPr>
          <w:rStyle w:val="7"/>
          <w:rFonts w:ascii="仿宋_GB2312" w:eastAsia="黑体"/>
          <w:b w:val="0"/>
          <w:bCs w:val="0"/>
          <w:smallCaps w:val="0"/>
          <w:spacing w:val="0"/>
        </w:rPr>
      </w:pPr>
      <w:r>
        <w:rPr>
          <w:rStyle w:val="7"/>
          <w:rFonts w:hint="eastAsia" w:ascii="黑体" w:eastAsia="黑体"/>
          <w:sz w:val="32"/>
          <w:szCs w:val="32"/>
        </w:rPr>
        <w:t>一、登录研究生系统方式</w:t>
      </w:r>
    </w:p>
    <w:p w14:paraId="3272BF26">
      <w:pPr>
        <w:ind w:firstLine="420"/>
        <w:jc w:val="left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登录地址为：浏览器输入</w:t>
      </w:r>
      <w:r>
        <w:rPr>
          <w:rFonts w:hint="eastAsia" w:ascii="微软雅黑" w:hAnsi="微软雅黑" w:eastAsia="微软雅黑" w:cs="微软雅黑"/>
          <w:sz w:val="22"/>
          <w:szCs w:val="22"/>
        </w:rPr>
        <w:t>https://yjsxt.qzc.edu.cn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:8060</w:t>
      </w:r>
      <w:r>
        <w:rPr>
          <w:rFonts w:hint="eastAsia" w:ascii="微软雅黑" w:hAnsi="微软雅黑" w:eastAsia="微软雅黑" w:cs="微软雅黑"/>
          <w:sz w:val="22"/>
          <w:szCs w:val="22"/>
        </w:rPr>
        <w:t>/gsapphl/sys/yjsemaphome/portal/index.do</w:t>
      </w:r>
    </w:p>
    <w:p w14:paraId="4BFC24FA">
      <w:pPr>
        <w:ind w:firstLine="420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登录页面如下：</w:t>
      </w:r>
    </w:p>
    <w:p w14:paraId="3572609B">
      <w:pPr>
        <w:rPr>
          <w:rFonts w:hint="eastAsia"/>
        </w:rPr>
      </w:pPr>
      <w:r>
        <w:drawing>
          <wp:inline distT="0" distB="0" distL="114300" distR="114300">
            <wp:extent cx="5264785" cy="245046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1830">
      <w:pPr>
        <w:ind w:firstLine="560" w:firstLineChars="200"/>
        <w:rPr>
          <w:rFonts w:hint="eastAsia"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使用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统一身份认证</w:t>
      </w:r>
      <w:r>
        <w:rPr>
          <w:rFonts w:hint="eastAsia" w:ascii="仿宋_GB2312" w:hAnsi="MS Mincho" w:eastAsia="仿宋_GB2312" w:cs="MS Mincho"/>
          <w:sz w:val="28"/>
          <w:szCs w:val="28"/>
          <w:highlight w:val="red"/>
          <w:lang w:val="en-US" w:eastAsia="zh-CN"/>
        </w:rPr>
        <w:t>账号、密码</w:t>
      </w:r>
      <w:r>
        <w:rPr>
          <w:rFonts w:hint="eastAsia" w:ascii="仿宋_GB2312" w:hAnsi="MS Mincho" w:eastAsia="仿宋_GB2312" w:cs="MS Mincho"/>
          <w:sz w:val="28"/>
          <w:szCs w:val="28"/>
        </w:rPr>
        <w:t>登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录</w:t>
      </w:r>
      <w:r>
        <w:rPr>
          <w:rFonts w:hint="eastAsia" w:ascii="仿宋_GB2312" w:hAnsi="MS Mincho" w:eastAsia="仿宋_GB2312" w:cs="MS Mincho"/>
          <w:sz w:val="28"/>
          <w:szCs w:val="28"/>
        </w:rPr>
        <w:t>研究生系统</w:t>
      </w:r>
    </w:p>
    <w:p w14:paraId="0F29DD96">
      <w:pPr>
        <w:ind w:firstLine="420"/>
        <w:rPr>
          <w:rFonts w:hint="eastAsia"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进入以下页面证明您已登录成功！</w:t>
      </w:r>
    </w:p>
    <w:p w14:paraId="5EC230B8">
      <w:r>
        <w:drawing>
          <wp:inline distT="0" distB="0" distL="114300" distR="114300">
            <wp:extent cx="5260975" cy="238315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1EBC"/>
    <w:p w14:paraId="3848EA44"/>
    <w:p w14:paraId="4E1E8499"/>
    <w:p w14:paraId="0CD0C492"/>
    <w:p w14:paraId="564E14ED">
      <w:pPr>
        <w:pStyle w:val="2"/>
      </w:pPr>
      <w:r>
        <w:rPr>
          <w:rFonts w:hint="eastAsia"/>
        </w:rPr>
        <w:t>制定培养计划</w:t>
      </w:r>
    </w:p>
    <w:p w14:paraId="1067E7C6">
      <w:pPr>
        <w:pStyle w:val="3"/>
      </w:pPr>
      <w:r>
        <w:rPr>
          <w:rFonts w:hint="eastAsia"/>
        </w:rPr>
        <w:t>提交流程</w:t>
      </w:r>
    </w:p>
    <w:p w14:paraId="0156CCD1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选择“培养管理”页签，点击“我的培养计划”，进入应用</w:t>
      </w:r>
    </w:p>
    <w:p w14:paraId="6FAB131A"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62880" cy="2566035"/>
            <wp:effectExtent l="0" t="0" r="1016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9B79">
      <w:pPr>
        <w:jc w:val="center"/>
      </w:pPr>
    </w:p>
    <w:p w14:paraId="1B1990B3">
      <w:pPr>
        <w:numPr>
          <w:ilvl w:val="0"/>
          <w:numId w:val="2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页面首先会显示培养计划维护的起止时间要求，学生当前的培养方案，以及学校培养方案对学生培养计划课程总学分的最低要求</w:t>
      </w:r>
    </w:p>
    <w:p w14:paraId="690BB8E4">
      <w:pPr>
        <w:numPr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7325" cy="2699385"/>
            <wp:effectExtent l="0" t="0" r="571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44BC">
      <w:pPr>
        <w:jc w:val="center"/>
      </w:pPr>
    </w:p>
    <w:p w14:paraId="76B88435">
      <w:pPr>
        <w:ind w:firstLine="210" w:firstLineChars="100"/>
        <w:rPr>
          <w:sz w:val="21"/>
          <w:szCs w:val="21"/>
        </w:rPr>
      </w:pPr>
      <w:r>
        <w:rPr>
          <w:rFonts w:hint="eastAsia"/>
          <w:sz w:val="21"/>
          <w:szCs w:val="21"/>
        </w:rPr>
        <w:t>注A：显示维护开放的起止时间，以及当前培养计划所处状态。提交后将从草稿变更为对应的审核状态。</w:t>
      </w:r>
    </w:p>
    <w:p w14:paraId="54DE09EE">
      <w:pPr>
        <w:ind w:firstLine="210" w:firstLineChars="1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注B：点击蓝字部分，将跳转显示自身对应培养方案的详情页。学生可查看正文部分，了解学校培养流程。</w:t>
      </w:r>
    </w:p>
    <w:p w14:paraId="4001ED25">
      <w:pPr>
        <w:jc w:val="center"/>
        <w:rPr>
          <w:rFonts w:hint="eastAsia"/>
        </w:rPr>
      </w:pPr>
    </w:p>
    <w:p w14:paraId="69B8C412">
      <w:pPr>
        <w:ind w:firstLine="210" w:firstLineChars="1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注C：显示学生维护培养计划时，已选择课程总学分必须满足的要求。若不满足，则无法提交培养计划。</w:t>
      </w:r>
    </w:p>
    <w:p w14:paraId="314DCE94">
      <w:pPr>
        <w:numPr>
          <w:ilvl w:val="0"/>
          <w:numId w:val="2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点击页面中的【本专业选课】，按照其中的培养方案要求进行选课</w:t>
      </w:r>
    </w:p>
    <w:p w14:paraId="09523910">
      <w:pPr>
        <w:numPr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6690" cy="2636520"/>
            <wp:effectExtent l="0" t="0" r="635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1F99">
      <w:pPr>
        <w:jc w:val="center"/>
      </w:pPr>
    </w:p>
    <w:p w14:paraId="31F1B64B">
      <w:pPr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注1：下方按课程类别分框显示已选择的课程（部分必修课程学校已统一添加至培养计划中，学生按照要求完成剩余课程的选择）</w:t>
      </w:r>
    </w:p>
    <w:p w14:paraId="55F468C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注2：若要选择培养方案外的一门课程作为专业选修课，请点击【课程库选课】添加</w:t>
      </w:r>
    </w:p>
    <w:p w14:paraId="254FF812">
      <w:pPr>
        <w:jc w:val="both"/>
        <w:rPr>
          <w:rFonts w:hint="eastAsia"/>
          <w:sz w:val="21"/>
          <w:szCs w:val="21"/>
        </w:rPr>
      </w:pPr>
    </w:p>
    <w:p w14:paraId="0D29E1CA">
      <w:r>
        <w:rPr>
          <w:rFonts w:hint="eastAsia"/>
        </w:rPr>
        <w:t>4）点击操作列的滑动按钮，完成对应行的计划课程选择</w:t>
      </w:r>
    </w:p>
    <w:p w14:paraId="67ED6490">
      <w:pPr>
        <w:jc w:val="center"/>
      </w:pPr>
      <w:r>
        <w:drawing>
          <wp:inline distT="0" distB="0" distL="114300" distR="114300">
            <wp:extent cx="5271770" cy="2628900"/>
            <wp:effectExtent l="0" t="0" r="127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B9BE">
      <w:pPr>
        <w:ind w:firstLine="210" w:firstLineChars="1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注A：“多选组”列展示：培养方案对课程的选择要求。若不满足，将无法提交培养计划</w:t>
      </w:r>
    </w:p>
    <w:p w14:paraId="478CDDA7">
      <w:pPr>
        <w:numPr>
          <w:ilvl w:val="0"/>
          <w:numId w:val="2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确认课程选择完成后，点击【提交审核】，若提示成功，页面显示“待导师审核”即完成。</w:t>
      </w:r>
    </w:p>
    <w:p w14:paraId="62036047">
      <w:pPr>
        <w:numPr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6690" cy="2277110"/>
            <wp:effectExtent l="0" t="0" r="635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66F7">
      <w:pPr>
        <w:jc w:val="center"/>
        <w:rPr>
          <w:rFonts w:hint="eastAsia"/>
        </w:rPr>
      </w:pPr>
    </w:p>
    <w:p w14:paraId="0E645990">
      <w:pPr>
        <w:ind w:firstLine="210" w:firstLineChars="1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注：若提交后出现以下提示，请根据描述按照要求补选计划课程。</w:t>
      </w:r>
    </w:p>
    <w:p w14:paraId="63142134">
      <w:pPr>
        <w:jc w:val="center"/>
      </w:pPr>
      <w:r>
        <w:drawing>
          <wp:inline distT="0" distB="0" distL="114300" distR="114300">
            <wp:extent cx="5272405" cy="2692400"/>
            <wp:effectExtent l="0" t="0" r="63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5910">
      <w:pPr>
        <w:jc w:val="center"/>
      </w:pPr>
    </w:p>
    <w:p w14:paraId="3271125A">
      <w:pPr>
        <w:pStyle w:val="3"/>
        <w:rPr>
          <w:rFonts w:hint="eastAsia"/>
        </w:rPr>
      </w:pPr>
      <w:r>
        <w:rPr>
          <w:rFonts w:hint="eastAsia"/>
        </w:rPr>
        <w:t>退改流程</w:t>
      </w:r>
    </w:p>
    <w:p w14:paraId="74D2D693">
      <w:pPr>
        <w:ind w:firstLine="480" w:firstLineChars="200"/>
        <w:rPr>
          <w:rFonts w:hint="eastAsia"/>
        </w:rPr>
      </w:pPr>
      <w:r>
        <w:rPr>
          <w:rFonts w:hint="eastAsia"/>
        </w:rPr>
        <w:t>培养计划的审核流程为【草稿-</w:t>
      </w:r>
      <w:r>
        <w:t>&gt;</w:t>
      </w:r>
      <w:r>
        <w:rPr>
          <w:rFonts w:hint="eastAsia"/>
        </w:rPr>
        <w:t>待导师审核-</w:t>
      </w:r>
      <w:r>
        <w:t>&gt;</w:t>
      </w:r>
      <w:r>
        <w:rPr>
          <w:rFonts w:hint="eastAsia"/>
        </w:rPr>
        <w:t>待院系审核-</w:t>
      </w:r>
      <w:r>
        <w:t>&gt;</w:t>
      </w:r>
      <w:r>
        <w:rPr>
          <w:rFonts w:hint="eastAsia"/>
        </w:rPr>
        <w:t>审核通过】。因此，退改流程分为以下三个步骤：</w:t>
      </w:r>
    </w:p>
    <w:p w14:paraId="21D23A10">
      <w:pPr>
        <w:ind w:firstLine="240" w:firstLineChars="100"/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将培养计划变更回“草稿”状态；</w:t>
      </w:r>
    </w:p>
    <w:p w14:paraId="3E5E60B7">
      <w:pPr>
        <w:ind w:firstLine="240" w:firstLineChars="100"/>
      </w:pPr>
      <w:r>
        <w:rPr>
          <w:rFonts w:hint="eastAsia"/>
        </w:rPr>
        <w:t>b</w:t>
      </w:r>
      <w:r>
        <w:t>.</w:t>
      </w:r>
      <w:r>
        <w:rPr>
          <w:rFonts w:hint="eastAsia"/>
        </w:rPr>
        <w:t>确认退选课程与新选课程；</w:t>
      </w:r>
    </w:p>
    <w:p w14:paraId="5D2AEDCC">
      <w:pPr>
        <w:ind w:firstLine="240" w:firstLineChars="100"/>
      </w:pPr>
      <w:r>
        <w:rPr>
          <w:rFonts w:hint="eastAsia"/>
        </w:rPr>
        <w:t>c</w:t>
      </w:r>
      <w:r>
        <w:t>.</w:t>
      </w:r>
      <w:r>
        <w:rPr>
          <w:rFonts w:hint="eastAsia"/>
        </w:rPr>
        <w:t>重新提交培养计划。</w:t>
      </w:r>
    </w:p>
    <w:p w14:paraId="5A8AC6E2">
      <w:pPr>
        <w:rPr>
          <w:rFonts w:hint="eastAsia"/>
        </w:rPr>
      </w:pPr>
    </w:p>
    <w:p w14:paraId="052B35C6">
      <w:r>
        <w:rPr>
          <w:rFonts w:hint="eastAsia"/>
        </w:rPr>
        <w:t>1）情况一（待导师审核）</w:t>
      </w:r>
    </w:p>
    <w:p w14:paraId="5BE3F7E7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若在导师未完成审核前，学生需要修改已提交的个人培养计划，可直接点击【收回】。培养计划变更回“草稿”状态即可编辑培养计划，完成后再提交。</w:t>
      </w:r>
    </w:p>
    <w:p w14:paraId="55B4BDDB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292850" cy="3136265"/>
            <wp:effectExtent l="0" t="0" r="1270" b="3175"/>
            <wp:docPr id="3" name="图片 1" descr="a1e6a71fff31ac841d0cf9569dea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a1e6a71fff31ac841d0cf9569dea1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0C67">
      <w:r>
        <w:rPr>
          <w:rFonts w:hint="eastAsia"/>
        </w:rPr>
        <w:t>2）情况二（待院系审核、审核通过）</w:t>
      </w:r>
    </w:p>
    <w:p w14:paraId="7096C4B1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若培养计划已处于待院系审核或者审核通过的状态，请联系学院</w:t>
      </w:r>
      <w:r>
        <w:rPr>
          <w:rFonts w:hint="eastAsia"/>
          <w:lang w:val="en-US" w:eastAsia="zh-CN"/>
        </w:rPr>
        <w:t>秘书</w:t>
      </w:r>
      <w:bookmarkStart w:id="0" w:name="_GoBack"/>
      <w:bookmarkEnd w:id="0"/>
      <w:r>
        <w:rPr>
          <w:rFonts w:hint="eastAsia"/>
        </w:rPr>
        <w:t>退回，当培养计划变更回“草稿”状态时，可再次编辑后提交。</w:t>
      </w:r>
    </w:p>
    <w:p w14:paraId="496BD721">
      <w:r>
        <w:rPr>
          <w:rFonts w:hint="eastAsia"/>
        </w:rPr>
        <w:drawing>
          <wp:inline distT="0" distB="0" distL="114300" distR="114300">
            <wp:extent cx="6297295" cy="3148330"/>
            <wp:effectExtent l="0" t="0" r="12065" b="6350"/>
            <wp:docPr id="4" name="图片 2" descr="c68e302fe9300dfb55a2eddb813f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68e302fe9300dfb55a2eddb813fe0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DCEAF">
    <w:pPr>
      <w:pStyle w:val="4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050AE">
    <w:pPr>
      <w:pStyle w:val="4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0F251">
    <w:pPr>
      <w:pStyle w:val="4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74C610"/>
    <w:multiLevelType w:val="singleLevel"/>
    <w:tmpl w:val="F674C610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2420"/>
        </w:tabs>
        <w:ind w:left="2420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773F4"/>
    <w:rsid w:val="6F37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0" w:beforeAutospacing="0" w:after="0" w:afterAutospacing="0" w:line="360" w:lineRule="auto"/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clear" w:pos="2420"/>
      </w:tabs>
      <w:ind w:left="0" w:firstLine="0"/>
      <w:outlineLvl w:val="1"/>
    </w:pPr>
    <w:rPr>
      <w:rFonts w:eastAsia="黑体"/>
      <w:b/>
      <w:bCs/>
      <w:sz w:val="28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kern w:val="0"/>
      <w:sz w:val="18"/>
      <w:szCs w:val="18"/>
    </w:rPr>
  </w:style>
  <w:style w:type="character" w:customStyle="1" w:styleId="7">
    <w:name w:val="书籍标题1"/>
    <w:basedOn w:val="6"/>
    <w:qFormat/>
    <w:uiPriority w:val="0"/>
    <w:rPr>
      <w:rFonts w:cs="Times New Roman"/>
      <w:b/>
      <w:bCs/>
      <w:smallCap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2025-09-03T02:13:00Z</dcterms:created>
  <dc:creator>余路。</dc:creator>
  <cp:lastModifiedBy>余路。</cp:lastModifiedBy>
  <dcterms:modified xsi:type="dcterms:W3CDTF">2025-09-03T02:31:43Z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AD7C8F77D84D45F4831D7C60903B107A_11</vt:lpwstr>
  </property>
  <property fmtid="{D5CDD505-2E9C-101B-9397-08002B2CF9AE}" pid="4" name="KSOTemplateDocerSaveRecord">
    <vt:lpwstr>eyJoZGlkIjoiNTMyYjAyMzM0NTMwMGY1MzM5OTM0MzMzYWI2YzA0OTAiLCJ1c2VySWQiOiI2MjI4ODYxMDYifQ==</vt:lpwstr>
  </property>
</Properties>
</file>